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2F5B51">
        <w:t>48745</w:t>
      </w:r>
      <w:r w:rsidR="002F5B51">
        <w:br/>
        <w:t xml:space="preserve">SOAH DOCKET NO. </w:t>
      </w:r>
      <w:r>
        <w:t>473-</w:t>
      </w:r>
      <w:r w:rsidR="002F5B51">
        <w:t>19-1841</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2F5B51" w:rsidP="00871D6A">
            <w:pPr>
              <w:pStyle w:val="Docketstyle"/>
            </w:pPr>
            <w:r>
              <w:t>APPLICATION OF ENTERGY TEXAS, INC. RELATING TO PARTICIPATION IN SMART METER T</w:t>
            </w:r>
            <w:r w:rsidR="00871D6A">
              <w:t>EXAS</w:t>
            </w:r>
            <w:r>
              <w:t xml:space="preserve"> AND CHANGES TO ITS ADVANCED METERING SYSTEM</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2F5B51" w:rsidRDefault="002F5B51" w:rsidP="001E360C">
            <w:pPr>
              <w:pStyle w:val="Docketstyle"/>
            </w:pPr>
            <w:r>
              <w:t>§</w:t>
            </w:r>
          </w:p>
          <w:p w:rsidR="002F5B51" w:rsidRDefault="002F5B51"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PRELIMINARY ORDER</w:t>
      </w:r>
    </w:p>
    <w:p w:rsidR="00266F9F" w:rsidRDefault="002F5B51" w:rsidP="00266F9F">
      <w:pPr>
        <w:pStyle w:val="BodyText"/>
      </w:pPr>
      <w:r>
        <w:t xml:space="preserve"> </w:t>
      </w:r>
      <w:r w:rsidR="00AD7F55">
        <w:t>Entergy Texas, Inc.</w:t>
      </w:r>
      <w:r w:rsidR="00980A47">
        <w:t xml:space="preserve"> </w:t>
      </w:r>
      <w:r w:rsidR="000719F5">
        <w:t xml:space="preserve">(ETI) </w:t>
      </w:r>
      <w:r w:rsidR="00980A47">
        <w:t xml:space="preserve">filed an application </w:t>
      </w:r>
      <w:r w:rsidR="00266F9F">
        <w:t>to</w:t>
      </w:r>
      <w:r w:rsidR="009F1AF5">
        <w:t xml:space="preserve"> address </w:t>
      </w:r>
      <w:r w:rsidR="00431FDA">
        <w:t xml:space="preserve">its </w:t>
      </w:r>
      <w:r w:rsidR="009D24F7">
        <w:t xml:space="preserve">potential </w:t>
      </w:r>
      <w:r w:rsidR="00431FDA">
        <w:t>participation in Smart Meter Texas and related issues</w:t>
      </w:r>
      <w:r w:rsidR="00980A47">
        <w:t>.</w:t>
      </w:r>
      <w:r w:rsidR="00266F9F">
        <w:t xml:space="preserve"> </w:t>
      </w:r>
      <w:r w:rsidR="009837BF">
        <w:t xml:space="preserve"> Smart Meter Texas is a web portal by which AEP Texas Inc., CenterPoint Energy Houston Electric, LLC, Oncor Electric Delivery Company LLC, and Texas-New Mexico Power Company make metering data available to customers and others</w:t>
      </w:r>
      <w:r w:rsidR="00FC50E1">
        <w:t xml:space="preserve">.  </w:t>
      </w:r>
      <w:r w:rsidR="006F2036">
        <w:t>This preliminary order identifies the issues that must be addressed</w:t>
      </w:r>
      <w:r w:rsidR="00980A47">
        <w:t xml:space="preserve"> in this proceeding</w:t>
      </w:r>
      <w:r w:rsidR="006F2036">
        <w:t>.</w:t>
      </w:r>
    </w:p>
    <w:p w:rsidR="006F2036" w:rsidRDefault="008C6885" w:rsidP="00266F9F">
      <w:pPr>
        <w:pStyle w:val="BodyText"/>
      </w:pPr>
      <w:r>
        <w:t>In Docket No. 47416</w:t>
      </w:r>
      <w:r w:rsidR="00573E62">
        <w:t>,</w:t>
      </w:r>
      <w:r>
        <w:rPr>
          <w:rStyle w:val="FootnoteReference"/>
        </w:rPr>
        <w:footnoteReference w:id="1"/>
      </w:r>
      <w:r w:rsidR="00573E62">
        <w:t xml:space="preserve"> the Commission </w:t>
      </w:r>
      <w:r w:rsidR="000E6BB6">
        <w:t>approved ETI’s application for approval</w:t>
      </w:r>
      <w:r w:rsidR="003E5047">
        <w:t xml:space="preserve"> of </w:t>
      </w:r>
      <w:r w:rsidR="00B453B3">
        <w:t xml:space="preserve">its </w:t>
      </w:r>
      <w:r w:rsidR="00244B83">
        <w:t>advanced metering system (AMS)</w:t>
      </w:r>
      <w:r w:rsidR="00B453B3">
        <w:t xml:space="preserve"> deployment plan, AMS surcharge, and metering service fees</w:t>
      </w:r>
      <w:r w:rsidR="003469EE">
        <w:t>.  In that final order, t</w:t>
      </w:r>
      <w:r w:rsidR="00F3232F">
        <w:t xml:space="preserve">he Commission </w:t>
      </w:r>
      <w:r w:rsidR="00C742F3">
        <w:t>also</w:t>
      </w:r>
      <w:r w:rsidR="00B453B3">
        <w:t xml:space="preserve"> directed ETI to </w:t>
      </w:r>
      <w:r w:rsidR="00C742F3">
        <w:t xml:space="preserve">initiate </w:t>
      </w:r>
      <w:r w:rsidR="009D24F7">
        <w:t>this</w:t>
      </w:r>
      <w:r w:rsidR="00C742F3">
        <w:t xml:space="preserve"> proceeding to address </w:t>
      </w:r>
      <w:r w:rsidR="00431FDA" w:rsidRPr="00431FDA">
        <w:t>whether and</w:t>
      </w:r>
      <w:r w:rsidR="00312BA7">
        <w:t>,</w:t>
      </w:r>
      <w:r w:rsidR="00431FDA" w:rsidRPr="00431FDA">
        <w:t xml:space="preserve"> </w:t>
      </w:r>
      <w:r w:rsidR="00312BA7">
        <w:t xml:space="preserve">if so, </w:t>
      </w:r>
      <w:r w:rsidR="00431FDA" w:rsidRPr="00431FDA">
        <w:t xml:space="preserve">to what extent ETI will participate in Smart Meter </w:t>
      </w:r>
      <w:r w:rsidR="00D10F03">
        <w:t>Texas</w:t>
      </w:r>
      <w:r w:rsidR="00431FDA" w:rsidRPr="00431FDA">
        <w:t>; what changes, if any, should be made to ETI’s web-based customer interface; and whether</w:t>
      </w:r>
      <w:r w:rsidR="00312BA7">
        <w:t>, and if so,</w:t>
      </w:r>
      <w:r w:rsidR="00431FDA" w:rsidRPr="00431FDA">
        <w:t xml:space="preserve"> to what extent ETI should provide third-party direct access to customer AMS data</w:t>
      </w:r>
      <w:r w:rsidR="00431FDA">
        <w:t>.</w:t>
      </w:r>
      <w:r w:rsidR="00312BA7">
        <w:rPr>
          <w:rStyle w:val="FootnoteReference"/>
        </w:rPr>
        <w:footnoteReference w:id="2"/>
      </w:r>
    </w:p>
    <w:p w:rsidR="00F24715" w:rsidRDefault="00DE7BC9" w:rsidP="00266F9F">
      <w:pPr>
        <w:pStyle w:val="BodyText"/>
      </w:pPr>
      <w:r>
        <w:t xml:space="preserve">ETI filed this application on October 9, 2018.  On January 3, 2019, </w:t>
      </w:r>
      <w:r w:rsidR="00ED339F">
        <w:t>the Commission referred this matter</w:t>
      </w:r>
      <w:r w:rsidR="00F24715">
        <w:t xml:space="preserve"> to </w:t>
      </w:r>
      <w:r w:rsidR="00DD116D">
        <w:t>the State Office of Administrative Hearings (</w:t>
      </w:r>
      <w:r w:rsidR="00F24715">
        <w:t>SOAH</w:t>
      </w:r>
      <w:r w:rsidR="00DD116D">
        <w:t>)</w:t>
      </w:r>
      <w:r w:rsidR="00F24715">
        <w:t xml:space="preserve">.  </w:t>
      </w:r>
      <w:r w:rsidR="004649F5">
        <w:t>T</w:t>
      </w:r>
      <w:r w:rsidR="00B443C7">
        <w:t xml:space="preserve">he </w:t>
      </w:r>
      <w:r w:rsidR="00DD116D">
        <w:t>Office of Public Utility Counsel</w:t>
      </w:r>
      <w:r w:rsidR="004649F5">
        <w:t xml:space="preserve"> and Mission</w:t>
      </w:r>
      <w:proofErr w:type="gramStart"/>
      <w:r w:rsidR="00A31495">
        <w:t>:</w:t>
      </w:r>
      <w:bookmarkStart w:id="0" w:name="_GoBack"/>
      <w:bookmarkEnd w:id="0"/>
      <w:r w:rsidR="00754C43">
        <w:t>data</w:t>
      </w:r>
      <w:proofErr w:type="gramEnd"/>
      <w:r w:rsidR="004649F5">
        <w:t xml:space="preserve"> </w:t>
      </w:r>
      <w:r w:rsidR="00443FCF">
        <w:t>are</w:t>
      </w:r>
      <w:r w:rsidR="00036B8F">
        <w:t xml:space="preserve"> </w:t>
      </w:r>
      <w:r w:rsidR="00B443C7">
        <w:t>intervenor</w:t>
      </w:r>
      <w:r w:rsidR="00036B8F">
        <w:t>s in this proceeding</w:t>
      </w:r>
      <w:r w:rsidR="00B443C7">
        <w:t xml:space="preserve">. </w:t>
      </w:r>
    </w:p>
    <w:p w:rsidR="00F24715" w:rsidRDefault="00FA63A3" w:rsidP="00266F9F">
      <w:pPr>
        <w:pStyle w:val="BodyText"/>
      </w:pPr>
      <w:r>
        <w:t>ETI</w:t>
      </w:r>
      <w:r w:rsidR="00F24715">
        <w:t xml:space="preserve"> was directed</w:t>
      </w:r>
      <w:r w:rsidR="00ED339F">
        <w:t>,</w:t>
      </w:r>
      <w:r w:rsidR="00F24715">
        <w:t xml:space="preserve"> and</w:t>
      </w:r>
      <w:r w:rsidR="00604A1C">
        <w:t xml:space="preserve"> Commission Staff and other interested p</w:t>
      </w:r>
      <w:r w:rsidR="00DF1D74">
        <w:t>ersons</w:t>
      </w:r>
      <w:r w:rsidR="00604A1C">
        <w:t xml:space="preserve"> w</w:t>
      </w:r>
      <w:r w:rsidR="00DF1D74">
        <w:t>ere allowed</w:t>
      </w:r>
      <w:r w:rsidR="00ED339F">
        <w:t>,</w:t>
      </w:r>
      <w:r w:rsidR="00DF1D74">
        <w:t xml:space="preserve"> to file a list of issues to be addressed in the docket and also</w:t>
      </w:r>
      <w:r w:rsidR="00ED339F">
        <w:t xml:space="preserve"> to</w:t>
      </w:r>
      <w:r w:rsidR="00DF1D74">
        <w:t xml:space="preserve"> identify any issues not to be addressed and any threshold legal or policy issu</w:t>
      </w:r>
      <w:r>
        <w:t>es that should be addressed by January 10, 2019</w:t>
      </w:r>
      <w:r w:rsidR="00DF1D74">
        <w:t xml:space="preserve">.  </w:t>
      </w:r>
      <w:r>
        <w:t>ETI and Commission Staff</w:t>
      </w:r>
      <w:r w:rsidR="00DF1D74">
        <w:t xml:space="preserve"> </w:t>
      </w:r>
      <w:r w:rsidR="00ED339F">
        <w:t xml:space="preserve">each </w:t>
      </w:r>
      <w:r w:rsidR="00DF1D74">
        <w:t xml:space="preserve">timely filed a list of issues.  </w:t>
      </w:r>
    </w:p>
    <w:p w:rsidR="006F2036" w:rsidRPr="003C35B5" w:rsidRDefault="006F2036" w:rsidP="006F2036">
      <w:pPr>
        <w:pStyle w:val="Heading1"/>
        <w:keepLines w:val="0"/>
        <w:tabs>
          <w:tab w:val="clear" w:pos="360"/>
        </w:tabs>
        <w:spacing w:before="480"/>
      </w:pPr>
      <w:r w:rsidRPr="003C35B5">
        <w:lastRenderedPageBreak/>
        <w:t>Issues to be Addressed</w:t>
      </w:r>
    </w:p>
    <w:p w:rsidR="006F2036" w:rsidRPr="003C35B5" w:rsidRDefault="006F2036" w:rsidP="006F2036">
      <w:pPr>
        <w:pStyle w:val="BodyText"/>
      </w:pPr>
      <w:r w:rsidRPr="003C35B5">
        <w:t>The Commission must provide t</w:t>
      </w:r>
      <w:r w:rsidR="009561CC">
        <w:t xml:space="preserve">o the </w:t>
      </w:r>
      <w:r w:rsidRPr="003C35B5">
        <w:t>ALJ a list of issues or areas to be addressed in any proc</w:t>
      </w:r>
      <w:r w:rsidR="00DD116D">
        <w:t>eeding referred to SOAH</w:t>
      </w:r>
      <w:r w:rsidRPr="003C35B5">
        <w:t>.</w:t>
      </w:r>
      <w:r w:rsidRPr="003C35B5">
        <w:rPr>
          <w:rStyle w:val="FootnoteReference"/>
        </w:rPr>
        <w:footnoteReference w:id="3"/>
      </w:r>
      <w:r w:rsidRPr="003C35B5">
        <w:t xml:space="preserve">  After reviewing the pleadings submitted by the parties, the Commission identifies the following issues that must be addressed in this docket:</w:t>
      </w:r>
    </w:p>
    <w:p w:rsidR="006F2036" w:rsidRDefault="006B39CA" w:rsidP="00D565EF">
      <w:pPr>
        <w:pStyle w:val="IssueList"/>
      </w:pPr>
      <w:r>
        <w:t xml:space="preserve">Should ETI be required to participate in Smart Meter Texas? </w:t>
      </w:r>
      <w:r w:rsidR="00E87713">
        <w:t xml:space="preserve"> If</w:t>
      </w:r>
      <w:r>
        <w:t xml:space="preserve"> so, </w:t>
      </w:r>
      <w:r w:rsidR="00547F92">
        <w:t>how, if at all, should ETI’</w:t>
      </w:r>
      <w:r w:rsidR="00EA5229">
        <w:t xml:space="preserve">s participation differ from that </w:t>
      </w:r>
      <w:r w:rsidR="00547F92">
        <w:t xml:space="preserve">of the transmission and distribution utilities </w:t>
      </w:r>
      <w:r w:rsidR="00EA5229">
        <w:t>currently participating in Smart Meter Texas?</w:t>
      </w:r>
    </w:p>
    <w:p w:rsidR="006B39CA" w:rsidRDefault="006B39CA" w:rsidP="001275A8">
      <w:pPr>
        <w:pStyle w:val="IssueList"/>
      </w:pPr>
      <w:r>
        <w:t xml:space="preserve">If </w:t>
      </w:r>
      <w:r w:rsidR="003724C1">
        <w:t xml:space="preserve">ETI </w:t>
      </w:r>
      <w:r w:rsidR="00E87713">
        <w:t>is</w:t>
      </w:r>
      <w:r w:rsidR="003724C1">
        <w:t xml:space="preserve"> not required to participate in Smart Meter Texas</w:t>
      </w:r>
      <w:r>
        <w:t>, does ETI’s web-based customer interface</w:t>
      </w:r>
      <w:r w:rsidR="00D565EF">
        <w:t xml:space="preserve">, including </w:t>
      </w:r>
      <w:r w:rsidR="00AF6A59">
        <w:t>any</w:t>
      </w:r>
      <w:r w:rsidR="00D565EF">
        <w:t xml:space="preserve"> planned changes and upgrades,</w:t>
      </w:r>
      <w:r>
        <w:t xml:space="preserve"> </w:t>
      </w:r>
      <w:r w:rsidR="0032314E">
        <w:t>comply with</w:t>
      </w:r>
      <w:r>
        <w:t xml:space="preserve"> the applicable requirements </w:t>
      </w:r>
      <w:r w:rsidR="0032314E">
        <w:t>in</w:t>
      </w:r>
      <w:r w:rsidR="00BD7F24">
        <w:t xml:space="preserve"> </w:t>
      </w:r>
      <w:r w:rsidR="00E31F8C">
        <w:t>16 Texas Administrative Code § 25.130</w:t>
      </w:r>
      <w:r w:rsidR="001275A8">
        <w:t xml:space="preserve"> and </w:t>
      </w:r>
      <w:r w:rsidR="00AF6321">
        <w:t>PURA</w:t>
      </w:r>
      <w:r w:rsidR="00593265">
        <w:rPr>
          <w:rStyle w:val="FootnoteReference"/>
        </w:rPr>
        <w:footnoteReference w:id="4"/>
      </w:r>
      <w:r w:rsidR="001275A8" w:rsidRPr="001275A8">
        <w:t xml:space="preserve"> </w:t>
      </w:r>
      <w:r w:rsidR="001275A8">
        <w:t>§ 39.107</w:t>
      </w:r>
      <w:r w:rsidR="0032314E">
        <w:t>?</w:t>
      </w:r>
    </w:p>
    <w:p w:rsidR="00EA5229" w:rsidRDefault="0032314E" w:rsidP="003724C1">
      <w:pPr>
        <w:pStyle w:val="IssueList"/>
      </w:pPr>
      <w:r>
        <w:t xml:space="preserve">What, if any, </w:t>
      </w:r>
      <w:r w:rsidR="00E87713">
        <w:t xml:space="preserve">additional changes </w:t>
      </w:r>
      <w:r w:rsidR="0038222A">
        <w:t xml:space="preserve">should ETI make </w:t>
      </w:r>
      <w:r w:rsidR="00E87713">
        <w:t>to its web-based customer interface to comply with Commission rules?</w:t>
      </w:r>
    </w:p>
    <w:p w:rsidR="00E31F8C" w:rsidRPr="003C35B5" w:rsidRDefault="00BD7F24" w:rsidP="00E31F8C">
      <w:pPr>
        <w:pStyle w:val="IssueList"/>
      </w:pPr>
      <w:r>
        <w:t>Is</w:t>
      </w:r>
      <w:r w:rsidR="00E31F8C">
        <w:t xml:space="preserve"> ETI</w:t>
      </w:r>
      <w:r w:rsidR="005E5900">
        <w:t>’s proposal to provide third-party direct access to its customers’ AMS data</w:t>
      </w:r>
      <w:r w:rsidR="00E00AEE">
        <w:t xml:space="preserve"> through Green Button Connect My Data</w:t>
      </w:r>
      <w:r w:rsidR="005E5900">
        <w:t xml:space="preserve"> reasonable and </w:t>
      </w:r>
      <w:r w:rsidR="00E00AEE">
        <w:t>in accordance</w:t>
      </w:r>
      <w:r w:rsidR="005E5900">
        <w:t xml:space="preserve"> with industry security standards and Commission rules?</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w:t>
      </w:r>
      <w:r w:rsidR="004862C5">
        <w:t>by the ALJ</w:t>
      </w:r>
      <w:r w:rsidRPr="003C35B5">
        <w:t xml:space="preserve">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w:t>
      </w:r>
      <w:r w:rsidR="00337A4D">
        <w:t>as Governmen</w:t>
      </w:r>
      <w:r w:rsidRPr="0067692D">
        <w:t>t Code</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Effect of Preliminary Order</w:t>
      </w:r>
    </w:p>
    <w:p w:rsidR="006F2036" w:rsidRDefault="006F2036" w:rsidP="006F2036">
      <w:pPr>
        <w:pStyle w:val="BodyText"/>
      </w:pPr>
      <w:r w:rsidRPr="003C35B5">
        <w:t xml:space="preserve">This </w:t>
      </w:r>
      <w:r w:rsidR="00036B8F">
        <w:t>O</w:t>
      </w:r>
      <w:r w:rsidRPr="003C35B5">
        <w:t xml:space="preserve">rder is preliminary in nature and is entered without prejudice to any party expressing views contrary to this </w:t>
      </w:r>
      <w:r w:rsidR="00036B8F">
        <w:t>O</w:t>
      </w:r>
      <w:r w:rsidRPr="003C35B5">
        <w:t xml:space="preserve">rder before the SOAH ALJ at hearing.  The SOAH ALJ, upon his or her own motion or upon the motion of any party, may deviate from this </w:t>
      </w:r>
      <w:r w:rsidR="007E4514">
        <w:t>O</w:t>
      </w:r>
      <w:r w:rsidRPr="003C35B5">
        <w:t xml:space="preserve">rder when circumstances dictate that it is reasonable to do so.  Any ruling by the SOAH ALJ that deviates from this </w:t>
      </w:r>
      <w:r w:rsidR="007E4514">
        <w:t>O</w:t>
      </w:r>
      <w:r w:rsidRPr="003C35B5">
        <w:t xml:space="preserve">rder may be appealed to the Commission.  The Commission will not </w:t>
      </w:r>
      <w:r w:rsidRPr="003C35B5">
        <w:lastRenderedPageBreak/>
        <w:t xml:space="preserve">address whether this </w:t>
      </w:r>
      <w:r w:rsidR="007E4514">
        <w:t>O</w:t>
      </w:r>
      <w:r w:rsidRPr="003C35B5">
        <w:t xml:space="preserve">rder should be modified except upon its own motion or the appeal of a SOAH ALJ’s order.  Furthermore, this </w:t>
      </w:r>
      <w:r w:rsidR="007E4514">
        <w:t>O</w:t>
      </w:r>
      <w:r w:rsidRPr="003C35B5">
        <w:t>rder is not subject to motions for rehearing or reconsideration.</w:t>
      </w:r>
    </w:p>
    <w:p w:rsidR="006F2036" w:rsidRPr="003C35B5" w:rsidRDefault="006F2036" w:rsidP="006F2036"/>
    <w:p w:rsidR="00160DCD" w:rsidRDefault="00160DCD" w:rsidP="00160DCD"/>
    <w:p w:rsidR="00160DCD" w:rsidRDefault="00160DCD" w:rsidP="00160DCD">
      <w:pPr>
        <w:pStyle w:val="Dateline"/>
      </w:pPr>
      <w:r>
        <w:t xml:space="preserve">Signed at Austin, Texas the ______ day of </w:t>
      </w:r>
      <w:r w:rsidR="00241518">
        <w:t>February 2019</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465A86"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465A86" w:rsidP="00160DCD">
      <w:pPr>
        <w:pStyle w:val="Signatures"/>
      </w:pPr>
      <w:r>
        <w:t>SHELLY BOTKIN</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465A86" w:rsidP="0062202F">
      <w:pPr>
        <w:pStyle w:val="EndMatter"/>
      </w:pPr>
      <w:r>
        <w:rPr>
          <w:noProof/>
        </w:rPr>
        <w:fldChar w:fldCharType="begin"/>
      </w:r>
      <w:r>
        <w:rPr>
          <w:noProof/>
        </w:rPr>
        <w:instrText xml:space="preserve"> FILENAME  \* Lower \p  \* MERGEFORMAT </w:instrText>
      </w:r>
      <w:r>
        <w:rPr>
          <w:noProof/>
        </w:rPr>
        <w:fldChar w:fldCharType="separate"/>
      </w:r>
      <w:r w:rsidR="00A55491">
        <w:rPr>
          <w:noProof/>
        </w:rPr>
        <w:t>q:\cadm\orders\prelim\48000\48745 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E89" w:rsidRDefault="00201E89" w:rsidP="00D03394">
      <w:r>
        <w:separator/>
      </w:r>
    </w:p>
  </w:endnote>
  <w:endnote w:type="continuationSeparator" w:id="0">
    <w:p w:rsidR="00201E89" w:rsidRDefault="00201E89"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E89" w:rsidRDefault="00201E89" w:rsidP="00D03394">
      <w:r>
        <w:separator/>
      </w:r>
    </w:p>
  </w:footnote>
  <w:footnote w:type="continuationSeparator" w:id="0">
    <w:p w:rsidR="00201E89" w:rsidRDefault="00201E89" w:rsidP="00D03394">
      <w:r>
        <w:continuationSeparator/>
      </w:r>
    </w:p>
  </w:footnote>
  <w:footnote w:id="1">
    <w:p w:rsidR="008C6885" w:rsidRPr="008C6885" w:rsidRDefault="008C6885">
      <w:pPr>
        <w:pStyle w:val="FootnoteText"/>
      </w:pPr>
      <w:r>
        <w:rPr>
          <w:rStyle w:val="FootnoteReference"/>
        </w:rPr>
        <w:footnoteRef/>
      </w:r>
      <w:r>
        <w:t xml:space="preserve"> </w:t>
      </w:r>
      <w:r>
        <w:rPr>
          <w:i/>
        </w:rPr>
        <w:t>Application of Entergy Texas, Inc. for Approval of Advanced Metering System (AMS) Deploymen</w:t>
      </w:r>
      <w:r w:rsidR="003E5047">
        <w:rPr>
          <w:i/>
        </w:rPr>
        <w:t>t Plan, AMS Surcharge, and Non-S</w:t>
      </w:r>
      <w:r>
        <w:rPr>
          <w:i/>
        </w:rPr>
        <w:t xml:space="preserve">tandard Metering Service Fees, </w:t>
      </w:r>
      <w:r>
        <w:t>Docket No. 47416, Order (Dec. 14, 2017).</w:t>
      </w:r>
    </w:p>
  </w:footnote>
  <w:footnote w:id="2">
    <w:p w:rsidR="00312BA7" w:rsidRPr="00312BA7" w:rsidRDefault="00312BA7">
      <w:pPr>
        <w:pStyle w:val="FootnoteText"/>
      </w:pPr>
      <w:r>
        <w:rPr>
          <w:rStyle w:val="FootnoteReference"/>
        </w:rPr>
        <w:footnoteRef/>
      </w:r>
      <w:r>
        <w:t xml:space="preserve"> </w:t>
      </w:r>
      <w:r>
        <w:rPr>
          <w:i/>
        </w:rPr>
        <w:t xml:space="preserve">Id. </w:t>
      </w:r>
      <w:r>
        <w:t xml:space="preserve">at </w:t>
      </w:r>
      <w:r w:rsidR="00ED339F">
        <w:t>Ordering Paragraph 6.</w:t>
      </w:r>
    </w:p>
  </w:footnote>
  <w:footnote w:id="3">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w:t>
      </w:r>
      <w:r w:rsidR="007E4514">
        <w:rPr>
          <w:lang w:val="pt-BR"/>
        </w:rPr>
        <w:t xml:space="preserve"> § 2003.049(e)</w:t>
      </w:r>
      <w:r w:rsidRPr="002133F3">
        <w:rPr>
          <w:lang w:val="pt-BR"/>
        </w:rPr>
        <w:t xml:space="preserve">.  </w:t>
      </w:r>
    </w:p>
  </w:footnote>
  <w:footnote w:id="4">
    <w:p w:rsidR="00593265" w:rsidRDefault="00593265">
      <w:pPr>
        <w:pStyle w:val="FootnoteText"/>
      </w:pPr>
      <w:r>
        <w:rPr>
          <w:rStyle w:val="FootnoteReference"/>
        </w:rPr>
        <w:footnoteRef/>
      </w:r>
      <w:r>
        <w:t xml:space="preserve"> </w:t>
      </w:r>
      <w:r w:rsidRPr="00593265">
        <w:t xml:space="preserve">Public Utility Regulatory Act, Tex. Util. Code § </w:t>
      </w:r>
      <w:r>
        <w:t>39.107</w:t>
      </w:r>
      <w:r w:rsidRPr="00593265">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2F5B51">
      <w:t>48745</w:t>
    </w:r>
    <w:r>
      <w:tab/>
    </w:r>
    <w:r w:rsidR="00B12AC5">
      <w:t xml:space="preserve">Preliminary </w:t>
    </w:r>
    <w:r>
      <w:t>Order</w:t>
    </w:r>
    <w:r>
      <w:tab/>
      <w:t xml:space="preserve">Page </w:t>
    </w:r>
    <w:r>
      <w:fldChar w:fldCharType="begin"/>
    </w:r>
    <w:r>
      <w:instrText xml:space="preserve"> PAGE   \* MERGEFORMAT </w:instrText>
    </w:r>
    <w:r>
      <w:fldChar w:fldCharType="separate"/>
    </w:r>
    <w:r w:rsidR="00D44A4B">
      <w:rPr>
        <w:noProof/>
      </w:rPr>
      <w:t>3</w:t>
    </w:r>
    <w:r>
      <w:fldChar w:fldCharType="end"/>
    </w:r>
    <w:r>
      <w:t xml:space="preserve"> of </w:t>
    </w:r>
    <w:r w:rsidR="00C1660C">
      <w:rPr>
        <w:noProof/>
      </w:rPr>
      <w:fldChar w:fldCharType="begin"/>
    </w:r>
    <w:r w:rsidR="00C1660C">
      <w:rPr>
        <w:noProof/>
      </w:rPr>
      <w:instrText xml:space="preserve"> NUMPAGES   \* MERGEFORMAT </w:instrText>
    </w:r>
    <w:r w:rsidR="00C1660C">
      <w:rPr>
        <w:noProof/>
      </w:rPr>
      <w:fldChar w:fldCharType="separate"/>
    </w:r>
    <w:r w:rsidR="00D44A4B">
      <w:rPr>
        <w:noProof/>
      </w:rPr>
      <w:t>3</w:t>
    </w:r>
    <w:r w:rsidR="00C1660C">
      <w:rPr>
        <w:noProof/>
      </w:rPr>
      <w:fldChar w:fldCharType="end"/>
    </w:r>
  </w:p>
  <w:p w:rsidR="00ED04FC" w:rsidRDefault="00ED04FC">
    <w:pPr>
      <w:pStyle w:val="Header"/>
    </w:pPr>
    <w:r>
      <w:t>SOAH Docket No. 473-</w:t>
    </w:r>
    <w:r w:rsidR="002F5B51">
      <w:t>19-1841</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E89"/>
    <w:rsid w:val="00036B8F"/>
    <w:rsid w:val="000719F5"/>
    <w:rsid w:val="000E5DBE"/>
    <w:rsid w:val="000E6BB6"/>
    <w:rsid w:val="001169CA"/>
    <w:rsid w:val="001275A8"/>
    <w:rsid w:val="00160DCD"/>
    <w:rsid w:val="001A2F80"/>
    <w:rsid w:val="001E1079"/>
    <w:rsid w:val="001E360C"/>
    <w:rsid w:val="001F10CC"/>
    <w:rsid w:val="00201E89"/>
    <w:rsid w:val="00241518"/>
    <w:rsid w:val="00244B83"/>
    <w:rsid w:val="00266F9F"/>
    <w:rsid w:val="002E6835"/>
    <w:rsid w:val="002F5B51"/>
    <w:rsid w:val="00312838"/>
    <w:rsid w:val="00312BA7"/>
    <w:rsid w:val="0032314E"/>
    <w:rsid w:val="00337A4D"/>
    <w:rsid w:val="00341C62"/>
    <w:rsid w:val="003469EE"/>
    <w:rsid w:val="003724C1"/>
    <w:rsid w:val="0038222A"/>
    <w:rsid w:val="003E5047"/>
    <w:rsid w:val="00431FDA"/>
    <w:rsid w:val="00433B5E"/>
    <w:rsid w:val="00443FCF"/>
    <w:rsid w:val="00460626"/>
    <w:rsid w:val="00462DE0"/>
    <w:rsid w:val="004649F5"/>
    <w:rsid w:val="00465A86"/>
    <w:rsid w:val="0046644C"/>
    <w:rsid w:val="004862C5"/>
    <w:rsid w:val="004E082A"/>
    <w:rsid w:val="00516EDA"/>
    <w:rsid w:val="00547F92"/>
    <w:rsid w:val="00573E62"/>
    <w:rsid w:val="00593265"/>
    <w:rsid w:val="005B1CF2"/>
    <w:rsid w:val="005C3512"/>
    <w:rsid w:val="005E5900"/>
    <w:rsid w:val="00604A1C"/>
    <w:rsid w:val="0062202F"/>
    <w:rsid w:val="006639CB"/>
    <w:rsid w:val="0067692D"/>
    <w:rsid w:val="00677B5E"/>
    <w:rsid w:val="006B39CA"/>
    <w:rsid w:val="006E1654"/>
    <w:rsid w:val="006F2036"/>
    <w:rsid w:val="00754C43"/>
    <w:rsid w:val="007572FC"/>
    <w:rsid w:val="007D618F"/>
    <w:rsid w:val="007E4514"/>
    <w:rsid w:val="0080046C"/>
    <w:rsid w:val="00815A16"/>
    <w:rsid w:val="00826285"/>
    <w:rsid w:val="00871D6A"/>
    <w:rsid w:val="008738BF"/>
    <w:rsid w:val="008A7B6B"/>
    <w:rsid w:val="008B7933"/>
    <w:rsid w:val="008C6885"/>
    <w:rsid w:val="008D1724"/>
    <w:rsid w:val="00914CDD"/>
    <w:rsid w:val="009561CC"/>
    <w:rsid w:val="009727E0"/>
    <w:rsid w:val="00980A47"/>
    <w:rsid w:val="009837BF"/>
    <w:rsid w:val="009C1919"/>
    <w:rsid w:val="009D24F7"/>
    <w:rsid w:val="009F1AF5"/>
    <w:rsid w:val="00A035EA"/>
    <w:rsid w:val="00A31495"/>
    <w:rsid w:val="00A40798"/>
    <w:rsid w:val="00A55491"/>
    <w:rsid w:val="00A85629"/>
    <w:rsid w:val="00A93A1E"/>
    <w:rsid w:val="00AD6C0A"/>
    <w:rsid w:val="00AD7F55"/>
    <w:rsid w:val="00AF6321"/>
    <w:rsid w:val="00AF6A59"/>
    <w:rsid w:val="00B12AC5"/>
    <w:rsid w:val="00B22348"/>
    <w:rsid w:val="00B443C7"/>
    <w:rsid w:val="00B453B3"/>
    <w:rsid w:val="00B71CA8"/>
    <w:rsid w:val="00BD7F24"/>
    <w:rsid w:val="00C1660C"/>
    <w:rsid w:val="00C54659"/>
    <w:rsid w:val="00C742F3"/>
    <w:rsid w:val="00C754C0"/>
    <w:rsid w:val="00D03394"/>
    <w:rsid w:val="00D10F03"/>
    <w:rsid w:val="00D1503F"/>
    <w:rsid w:val="00D44A4B"/>
    <w:rsid w:val="00D451DC"/>
    <w:rsid w:val="00D565EF"/>
    <w:rsid w:val="00D706B4"/>
    <w:rsid w:val="00D87D1D"/>
    <w:rsid w:val="00DD116D"/>
    <w:rsid w:val="00DE7BC9"/>
    <w:rsid w:val="00DF1D74"/>
    <w:rsid w:val="00E00AEE"/>
    <w:rsid w:val="00E31F8C"/>
    <w:rsid w:val="00E87713"/>
    <w:rsid w:val="00E930F3"/>
    <w:rsid w:val="00EA5229"/>
    <w:rsid w:val="00EB3FB6"/>
    <w:rsid w:val="00ED04FC"/>
    <w:rsid w:val="00ED339F"/>
    <w:rsid w:val="00EE5DDA"/>
    <w:rsid w:val="00F24715"/>
    <w:rsid w:val="00F308C4"/>
    <w:rsid w:val="00F3232F"/>
    <w:rsid w:val="00F33C3B"/>
    <w:rsid w:val="00FA1E83"/>
    <w:rsid w:val="00FA63A3"/>
    <w:rsid w:val="00FC50E1"/>
    <w:rsid w:val="00FE4318"/>
    <w:rsid w:val="00FE6611"/>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079EA0EE-EF1E-4741-BE90-3F081F09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1A2F80"/>
    <w:pPr>
      <w:spacing w:after="120"/>
      <w:ind w:firstLine="720"/>
    </w:pPr>
    <w:rPr>
      <w:sz w:val="20"/>
      <w:szCs w:val="20"/>
    </w:rPr>
  </w:style>
  <w:style w:type="character" w:customStyle="1" w:styleId="FootnoteTextChar">
    <w:name w:val="Footnote Text Char"/>
    <w:basedOn w:val="DefaultParagraphFont"/>
    <w:link w:val="FootnoteText"/>
    <w:uiPriority w:val="99"/>
    <w:rsid w:val="001A2F80"/>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44781-241D-4EA1-8A90-B5E39A5F2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prelimorder2013(wd'ab)</Template>
  <TotalTime>3</TotalTime>
  <Pages>3</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Mitzner, Carsi</dc:creator>
  <cp:keywords/>
  <dc:description/>
  <cp:lastModifiedBy>Hicks, Ruby</cp:lastModifiedBy>
  <cp:revision>6</cp:revision>
  <cp:lastPrinted>2019-02-06T20:31:00Z</cp:lastPrinted>
  <dcterms:created xsi:type="dcterms:W3CDTF">2019-02-06T19:51:00Z</dcterms:created>
  <dcterms:modified xsi:type="dcterms:W3CDTF">2019-02-06T20:33:00Z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